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44" w:rsidRPr="00331144" w:rsidRDefault="00331144" w:rsidP="00444FFD">
      <w:pPr>
        <w:pStyle w:val="TextodoCaptulo"/>
        <w:rPr>
          <w:rFonts w:ascii="Trebuchet MS" w:hAnsi="Trebuchet MS"/>
          <w:sz w:val="22"/>
          <w:szCs w:val="22"/>
        </w:rPr>
      </w:pPr>
    </w:p>
    <w:p w:rsidR="00331144" w:rsidRPr="00331144" w:rsidRDefault="00331144" w:rsidP="00331144">
      <w:pPr>
        <w:spacing w:before="100" w:beforeAutospacing="1" w:after="100" w:afterAutospacing="1"/>
        <w:rPr>
          <w:rFonts w:ascii="Trebuchet MS" w:hAnsi="Trebuchet MS"/>
          <w:sz w:val="22"/>
          <w:szCs w:val="22"/>
        </w:rPr>
      </w:pPr>
      <w:r w:rsidRPr="00331144">
        <w:rPr>
          <w:rFonts w:ascii="Trebuchet MS" w:hAnsi="Trebuchet MS"/>
          <w:sz w:val="22"/>
          <w:szCs w:val="22"/>
        </w:rPr>
        <w:t>IBDFAM-</w:t>
      </w:r>
      <w:r>
        <w:rPr>
          <w:rFonts w:ascii="Trebuchet MS" w:hAnsi="Trebuchet MS"/>
          <w:sz w:val="22"/>
          <w:szCs w:val="22"/>
        </w:rPr>
        <w:t xml:space="preserve"> </w:t>
      </w:r>
      <w:r w:rsidRPr="00331144">
        <w:rPr>
          <w:rFonts w:ascii="Trebuchet MS" w:hAnsi="Trebuchet MS"/>
          <w:sz w:val="22"/>
          <w:szCs w:val="22"/>
        </w:rPr>
        <w:t>Em decisão inédita naquele estado, a Justiça do Maranhão reconheceu como união estável um relacionamento paralelo ao casamento.  O desembargador relator Lourival Serejo, considerou que o relacionamento preenchia todos os requisitos necessários para configurar a união estável. A mulher g</w:t>
      </w:r>
      <w:r>
        <w:rPr>
          <w:rFonts w:ascii="Trebuchet MS" w:hAnsi="Trebuchet MS"/>
          <w:sz w:val="22"/>
          <w:szCs w:val="22"/>
        </w:rPr>
        <w:t xml:space="preserve">anhou o direito de </w:t>
      </w:r>
      <w:r w:rsidRPr="00331144">
        <w:rPr>
          <w:rFonts w:ascii="Trebuchet MS" w:hAnsi="Trebuchet MS"/>
          <w:sz w:val="22"/>
          <w:szCs w:val="22"/>
        </w:rPr>
        <w:t>participar da partilha dos bens do companheiro falecido. A jurisprudência vêm rechaçando decisões como esta. Na opinião d</w:t>
      </w:r>
      <w:r>
        <w:rPr>
          <w:rFonts w:ascii="Trebuchet MS" w:hAnsi="Trebuchet MS"/>
          <w:sz w:val="22"/>
          <w:szCs w:val="22"/>
        </w:rPr>
        <w:t>a</w:t>
      </w:r>
      <w:r w:rsidRPr="00331144">
        <w:rPr>
          <w:rFonts w:ascii="Trebuchet MS" w:hAnsi="Trebuchet MS"/>
          <w:sz w:val="22"/>
          <w:szCs w:val="22"/>
        </w:rPr>
        <w:t xml:space="preserve"> senhor</w:t>
      </w:r>
      <w:r>
        <w:rPr>
          <w:rFonts w:ascii="Trebuchet MS" w:hAnsi="Trebuchet MS"/>
          <w:sz w:val="22"/>
          <w:szCs w:val="22"/>
        </w:rPr>
        <w:t>a</w:t>
      </w:r>
      <w:r w:rsidRPr="00331144">
        <w:rPr>
          <w:rFonts w:ascii="Trebuchet MS" w:hAnsi="Trebuchet MS"/>
          <w:sz w:val="22"/>
          <w:szCs w:val="22"/>
        </w:rPr>
        <w:t>, o reconhecimento de direitos das famílias simultâneas ao casamento é importante? Por quê? E por que ainda são poucas decisões neste sentido?</w:t>
      </w:r>
    </w:p>
    <w:p w:rsidR="00444FFD" w:rsidRPr="00331144" w:rsidRDefault="008F1467" w:rsidP="00331144">
      <w:pPr>
        <w:pStyle w:val="TextodoCaptulo"/>
        <w:rPr>
          <w:rFonts w:ascii="Trebuchet MS" w:hAnsi="Trebuchet MS"/>
          <w:sz w:val="22"/>
          <w:szCs w:val="22"/>
        </w:rPr>
      </w:pPr>
      <w:r w:rsidRPr="00331144">
        <w:rPr>
          <w:rFonts w:ascii="Trebuchet MS" w:hAnsi="Trebuchet MS"/>
          <w:sz w:val="22"/>
          <w:szCs w:val="22"/>
        </w:rPr>
        <w:t>Giselda Hironaka</w:t>
      </w:r>
      <w:bookmarkStart w:id="0" w:name="_GoBack"/>
      <w:bookmarkEnd w:id="0"/>
      <w:r w:rsidR="009C3BF3">
        <w:rPr>
          <w:rFonts w:ascii="Trebuchet MS" w:hAnsi="Trebuchet MS"/>
          <w:sz w:val="22"/>
          <w:szCs w:val="22"/>
        </w:rPr>
        <w:t xml:space="preserve">- </w:t>
      </w:r>
      <w:r w:rsidR="00444FFD" w:rsidRPr="00331144">
        <w:rPr>
          <w:rFonts w:ascii="Trebuchet MS" w:hAnsi="Trebuchet MS"/>
          <w:sz w:val="22"/>
          <w:szCs w:val="22"/>
        </w:rPr>
        <w:t>Muitas vezes, como é costumeiro acontecer, a nossa legislação tem se mostrado incapaz de acompanhar a evolução, a velocidade e a complexidade dos mais diversos modelos de núcleo familiares que se apresentam como verdadeiras entidades familiares, ainda que inexistente o correspondente reconhecimento legal. Esta inércia do Poder Legislativo, contudo, tem sido oposta a um proficiente ativismo do Poder Judiciário, cuja atuação eficiente tem estabelecido o liame imprescindível entre as expectativas sociais e o ordenamento jurídico, principalmente para garantir a dignidade dos membros de tais arranjos familiares e o alcance da justiça.</w:t>
      </w:r>
    </w:p>
    <w:p w:rsidR="00952958" w:rsidRPr="00331144" w:rsidRDefault="00444FFD" w:rsidP="00444FFD">
      <w:pPr>
        <w:pStyle w:val="TextodoCaptulo"/>
        <w:rPr>
          <w:rFonts w:ascii="Trebuchet MS" w:hAnsi="Trebuchet MS"/>
          <w:sz w:val="22"/>
          <w:szCs w:val="22"/>
        </w:rPr>
      </w:pPr>
      <w:r w:rsidRPr="00331144">
        <w:rPr>
          <w:rFonts w:ascii="Trebuchet MS" w:hAnsi="Trebuchet MS"/>
          <w:sz w:val="22"/>
          <w:szCs w:val="22"/>
        </w:rPr>
        <w:t>É certo que o reconhecimento de outros arranjos como entidades familiares não tem ocorrido com facilidade, sequer rapidez. Veja-se, por exemplo, que a própria união estável – antigamente denominada concubinato puro – demorou quase seis décadas de avanços jurisprudenciais para que conseguisse – só então – a chancela legislativa, com a Carta Constitucional de 1988 e, depois, com as duas leis da década de 90 que regulamentaram a união estável e os efeitos sucessórios.</w:t>
      </w:r>
    </w:p>
    <w:p w:rsidR="00B63C86" w:rsidRPr="00331144" w:rsidRDefault="00444FFD" w:rsidP="00444FFD">
      <w:pPr>
        <w:pStyle w:val="TextodoCaptulo"/>
        <w:rPr>
          <w:rFonts w:ascii="Trebuchet MS" w:hAnsi="Trebuchet MS"/>
          <w:sz w:val="22"/>
          <w:szCs w:val="22"/>
        </w:rPr>
      </w:pPr>
      <w:r w:rsidRPr="00331144">
        <w:rPr>
          <w:rFonts w:ascii="Trebuchet MS" w:hAnsi="Trebuchet MS"/>
          <w:sz w:val="22"/>
          <w:szCs w:val="22"/>
        </w:rPr>
        <w:t>No que diz respeito, propriamente, aos modelos familiares de conjugalidades concomitantes, isto é, as famílias conjugais (casamento/união estável ou união estável/união estável) paralelas ou simultâneas, o assunto tem caminhado a passos duros e lentos, com a maioria dos julgados não reconhecendo a possibilidade de tutela concomitante. Mas, aqui e ali – como acontece agora,</w:t>
      </w:r>
      <w:r w:rsidR="00B63C86" w:rsidRPr="00331144">
        <w:rPr>
          <w:rFonts w:ascii="Trebuchet MS" w:hAnsi="Trebuchet MS"/>
          <w:sz w:val="22"/>
          <w:szCs w:val="22"/>
        </w:rPr>
        <w:t xml:space="preserve"> corajosamente, com este especial julgado do TJMA, da lavra do Desembargador Lourival Serejo –</w:t>
      </w:r>
      <w:r w:rsidRPr="00331144">
        <w:rPr>
          <w:rFonts w:ascii="Trebuchet MS" w:hAnsi="Trebuchet MS"/>
          <w:sz w:val="22"/>
          <w:szCs w:val="22"/>
        </w:rPr>
        <w:t xml:space="preserve"> já se apresentam</w:t>
      </w:r>
      <w:r w:rsidR="00B63C86" w:rsidRPr="00331144">
        <w:rPr>
          <w:rFonts w:ascii="Trebuchet MS" w:hAnsi="Trebuchet MS"/>
          <w:sz w:val="22"/>
          <w:szCs w:val="22"/>
        </w:rPr>
        <w:t xml:space="preserve"> decisões que</w:t>
      </w:r>
      <w:r w:rsidRPr="00331144">
        <w:rPr>
          <w:rFonts w:ascii="Trebuchet MS" w:hAnsi="Trebuchet MS"/>
          <w:sz w:val="22"/>
          <w:szCs w:val="22"/>
        </w:rPr>
        <w:t xml:space="preserve"> têm chancelado a possibilidade de reconhecimento. </w:t>
      </w:r>
      <w:r w:rsidR="00B63C86" w:rsidRPr="00331144">
        <w:rPr>
          <w:rFonts w:ascii="Trebuchet MS" w:hAnsi="Trebuchet MS"/>
          <w:sz w:val="22"/>
          <w:szCs w:val="22"/>
        </w:rPr>
        <w:t>Julgados assim, quer dizer, julgados a favor do reconhecimento e tutela das situações marcadas pela simultaneidade conjugal, produzem, mesmo que de forma ainda incipiente, o alento da conformação da justiça, segundo o meu sentir e expectativa.</w:t>
      </w:r>
    </w:p>
    <w:p w:rsidR="00444FFD" w:rsidRPr="00331144" w:rsidRDefault="00B63C86" w:rsidP="00444FFD">
      <w:pPr>
        <w:pStyle w:val="TextodoCaptulo"/>
        <w:rPr>
          <w:rFonts w:ascii="Trebuchet MS" w:hAnsi="Trebuchet MS"/>
          <w:i/>
          <w:sz w:val="22"/>
          <w:szCs w:val="22"/>
        </w:rPr>
      </w:pPr>
      <w:r w:rsidRPr="00331144">
        <w:rPr>
          <w:rFonts w:ascii="Trebuchet MS" w:hAnsi="Trebuchet MS"/>
          <w:sz w:val="22"/>
          <w:szCs w:val="22"/>
        </w:rPr>
        <w:lastRenderedPageBreak/>
        <w:t xml:space="preserve">A dificuldade e o preconceito que circundam </w:t>
      </w:r>
      <w:r w:rsidR="00763254" w:rsidRPr="00331144">
        <w:rPr>
          <w:rFonts w:ascii="Trebuchet MS" w:hAnsi="Trebuchet MS"/>
          <w:sz w:val="22"/>
          <w:szCs w:val="22"/>
        </w:rPr>
        <w:t>esta realidade encontram explicação, por exemplo, na manifestação de</w:t>
      </w:r>
      <w:r w:rsidR="00444FFD" w:rsidRPr="00331144">
        <w:rPr>
          <w:rFonts w:ascii="Trebuchet MS" w:hAnsi="Trebuchet MS"/>
          <w:sz w:val="22"/>
          <w:szCs w:val="22"/>
        </w:rPr>
        <w:t xml:space="preserve"> Letícia Ferrarini</w:t>
      </w:r>
      <w:r w:rsidR="00763254" w:rsidRPr="00331144">
        <w:rPr>
          <w:rFonts w:ascii="Trebuchet MS" w:hAnsi="Trebuchet MS"/>
          <w:sz w:val="22"/>
          <w:szCs w:val="22"/>
        </w:rPr>
        <w:t xml:space="preserve"> (</w:t>
      </w:r>
      <w:r w:rsidR="00763254" w:rsidRPr="00331144">
        <w:rPr>
          <w:rFonts w:ascii="Trebuchet MS" w:hAnsi="Trebuchet MS"/>
          <w:i/>
          <w:sz w:val="22"/>
          <w:szCs w:val="22"/>
        </w:rPr>
        <w:t>Famílias simultâneas e seus efeitos jurídicos: pedaços da realidade em busca da dignidade</w:t>
      </w:r>
      <w:r w:rsidR="00763254" w:rsidRPr="00331144">
        <w:rPr>
          <w:rFonts w:ascii="Trebuchet MS" w:hAnsi="Trebuchet MS"/>
          <w:sz w:val="22"/>
          <w:szCs w:val="22"/>
        </w:rPr>
        <w:t>)</w:t>
      </w:r>
      <w:r w:rsidR="00444FFD" w:rsidRPr="00331144">
        <w:rPr>
          <w:rFonts w:ascii="Trebuchet MS" w:hAnsi="Trebuchet MS"/>
          <w:sz w:val="22"/>
          <w:szCs w:val="22"/>
        </w:rPr>
        <w:t xml:space="preserve">, quando afirma que </w:t>
      </w:r>
      <w:r w:rsidR="00444FFD" w:rsidRPr="00331144">
        <w:rPr>
          <w:rFonts w:ascii="Trebuchet MS" w:hAnsi="Trebuchet MS"/>
          <w:i/>
          <w:sz w:val="22"/>
          <w:szCs w:val="22"/>
        </w:rPr>
        <w:t xml:space="preserve">as famílias em situação de simultaneidade a partir do protagonista conjugal são estigmatizadas. A </w:t>
      </w:r>
      <w:r w:rsidRPr="00331144">
        <w:rPr>
          <w:rFonts w:ascii="Trebuchet MS" w:hAnsi="Trebuchet MS"/>
          <w:i/>
          <w:sz w:val="22"/>
          <w:szCs w:val="22"/>
        </w:rPr>
        <w:t>ideia</w:t>
      </w:r>
      <w:r w:rsidR="00444FFD" w:rsidRPr="00331144">
        <w:rPr>
          <w:rFonts w:ascii="Trebuchet MS" w:hAnsi="Trebuchet MS"/>
          <w:i/>
          <w:sz w:val="22"/>
          <w:szCs w:val="22"/>
        </w:rPr>
        <w:t xml:space="preserve"> presente ainda hoje é no sentido de conceber essas </w:t>
      </w:r>
      <w:r w:rsidR="00444FFD" w:rsidRPr="00331144">
        <w:rPr>
          <w:rFonts w:ascii="Trebuchet MS" w:hAnsi="Trebuchet MS"/>
          <w:sz w:val="22"/>
          <w:szCs w:val="22"/>
        </w:rPr>
        <w:t>relações</w:t>
      </w:r>
      <w:r w:rsidR="00444FFD" w:rsidRPr="00331144">
        <w:rPr>
          <w:rFonts w:ascii="Trebuchet MS" w:hAnsi="Trebuchet MS"/>
          <w:i/>
          <w:sz w:val="22"/>
          <w:szCs w:val="22"/>
        </w:rPr>
        <w:t xml:space="preserve"> como estritamente adulterinas e, como tal, são todas generalizadas, consideradas como iguais, e, portanto, ignoradas nas suas peculiaridades. </w:t>
      </w:r>
      <w:r w:rsidR="00763254" w:rsidRPr="00331144">
        <w:rPr>
          <w:rFonts w:ascii="Trebuchet MS" w:hAnsi="Trebuchet MS"/>
          <w:sz w:val="22"/>
          <w:szCs w:val="22"/>
        </w:rPr>
        <w:t>E ela p</w:t>
      </w:r>
      <w:r w:rsidR="00444FFD" w:rsidRPr="00331144">
        <w:rPr>
          <w:rFonts w:ascii="Trebuchet MS" w:hAnsi="Trebuchet MS"/>
          <w:sz w:val="22"/>
          <w:szCs w:val="22"/>
        </w:rPr>
        <w:t xml:space="preserve">rossegue, adiante: </w:t>
      </w:r>
      <w:r w:rsidR="00444FFD" w:rsidRPr="00331144">
        <w:rPr>
          <w:rFonts w:ascii="Trebuchet MS" w:hAnsi="Trebuchet MS"/>
          <w:i/>
          <w:sz w:val="22"/>
          <w:szCs w:val="22"/>
        </w:rPr>
        <w:t xml:space="preserve">no imaginário social ainda prepondera a </w:t>
      </w:r>
      <w:r w:rsidRPr="00331144">
        <w:rPr>
          <w:rFonts w:ascii="Trebuchet MS" w:hAnsi="Trebuchet MS"/>
          <w:i/>
          <w:sz w:val="22"/>
          <w:szCs w:val="22"/>
        </w:rPr>
        <w:t>ideia</w:t>
      </w:r>
      <w:r w:rsidR="00444FFD" w:rsidRPr="00331144">
        <w:rPr>
          <w:rFonts w:ascii="Trebuchet MS" w:hAnsi="Trebuchet MS"/>
          <w:i/>
          <w:sz w:val="22"/>
          <w:szCs w:val="22"/>
        </w:rPr>
        <w:t xml:space="preserve"> de que as relações paralelas ao casamento se caracterizam pelo triângulo amoroso formado pelo mito, no qual a esposa é santificada, o marido é vitimizado e “a outra”, por conseguinte, é satanizada.</w:t>
      </w:r>
    </w:p>
    <w:p w:rsidR="00952958" w:rsidRPr="00331144" w:rsidRDefault="00444FFD" w:rsidP="00763254">
      <w:pPr>
        <w:pStyle w:val="TextodoCaptulo"/>
        <w:rPr>
          <w:rFonts w:ascii="Trebuchet MS" w:hAnsi="Trebuchet MS"/>
          <w:sz w:val="22"/>
          <w:szCs w:val="22"/>
        </w:rPr>
      </w:pPr>
      <w:r w:rsidRPr="00331144">
        <w:rPr>
          <w:rFonts w:ascii="Trebuchet MS" w:hAnsi="Trebuchet MS"/>
          <w:sz w:val="22"/>
          <w:szCs w:val="22"/>
        </w:rPr>
        <w:t>Desejo tomar como minhas as palavras da referida autora</w:t>
      </w:r>
      <w:r w:rsidR="00763254" w:rsidRPr="00331144">
        <w:rPr>
          <w:rFonts w:ascii="Trebuchet MS" w:hAnsi="Trebuchet MS"/>
          <w:sz w:val="22"/>
          <w:szCs w:val="22"/>
        </w:rPr>
        <w:t xml:space="preserve"> quando colhe</w:t>
      </w:r>
      <w:r w:rsidRPr="00331144">
        <w:rPr>
          <w:rFonts w:ascii="Trebuchet MS" w:hAnsi="Trebuchet MS"/>
          <w:sz w:val="22"/>
          <w:szCs w:val="22"/>
        </w:rPr>
        <w:t xml:space="preserve"> a lição de Carlos Maximiliano (</w:t>
      </w:r>
      <w:r w:rsidRPr="00331144">
        <w:rPr>
          <w:rFonts w:ascii="Trebuchet MS" w:hAnsi="Trebuchet MS"/>
          <w:i/>
          <w:sz w:val="22"/>
          <w:szCs w:val="22"/>
        </w:rPr>
        <w:t>Hermenêutica e aplicação do direito</w:t>
      </w:r>
      <w:r w:rsidR="00763254" w:rsidRPr="00331144">
        <w:rPr>
          <w:rFonts w:ascii="Trebuchet MS" w:hAnsi="Trebuchet MS"/>
          <w:sz w:val="22"/>
          <w:szCs w:val="22"/>
        </w:rPr>
        <w:t>)</w:t>
      </w:r>
      <w:r w:rsidRPr="00331144">
        <w:rPr>
          <w:rFonts w:ascii="Trebuchet MS" w:hAnsi="Trebuchet MS"/>
          <w:sz w:val="22"/>
          <w:szCs w:val="22"/>
        </w:rPr>
        <w:t xml:space="preserve"> e descreve sua enfática preocupação de </w:t>
      </w:r>
      <w:r w:rsidRPr="00331144">
        <w:rPr>
          <w:rFonts w:ascii="Trebuchet MS" w:hAnsi="Trebuchet MS"/>
          <w:i/>
          <w:sz w:val="22"/>
          <w:szCs w:val="22"/>
        </w:rPr>
        <w:t>evitar não apenas o demasiado apego à “letra fria da lei”, como também o excesso contrário, de forçar determinada exegese.</w:t>
      </w:r>
      <w:r w:rsidR="00763254" w:rsidRPr="00331144">
        <w:rPr>
          <w:rFonts w:ascii="Trebuchet MS" w:hAnsi="Trebuchet MS"/>
          <w:sz w:val="22"/>
          <w:szCs w:val="22"/>
        </w:rPr>
        <w:t>Afinal, não nos enganemos: t</w:t>
      </w:r>
      <w:r w:rsidRPr="00331144">
        <w:rPr>
          <w:rFonts w:ascii="Trebuchet MS" w:hAnsi="Trebuchet MS"/>
          <w:sz w:val="22"/>
          <w:szCs w:val="22"/>
        </w:rPr>
        <w:t>udo deve ser</w:t>
      </w:r>
      <w:r w:rsidR="00763254" w:rsidRPr="00331144">
        <w:rPr>
          <w:rFonts w:ascii="Trebuchet MS" w:hAnsi="Trebuchet MS"/>
          <w:sz w:val="22"/>
          <w:szCs w:val="22"/>
        </w:rPr>
        <w:t xml:space="preserve"> sempre</w:t>
      </w:r>
      <w:r w:rsidRPr="00331144">
        <w:rPr>
          <w:rFonts w:ascii="Trebuchet MS" w:hAnsi="Trebuchet MS"/>
          <w:sz w:val="22"/>
          <w:szCs w:val="22"/>
        </w:rPr>
        <w:t xml:space="preserve"> medido</w:t>
      </w:r>
      <w:r w:rsidR="00763254" w:rsidRPr="00331144">
        <w:rPr>
          <w:rFonts w:ascii="Trebuchet MS" w:hAnsi="Trebuchet MS"/>
          <w:sz w:val="22"/>
          <w:szCs w:val="22"/>
        </w:rPr>
        <w:t xml:space="preserve"> e bem ponderado</w:t>
      </w:r>
      <w:r w:rsidRPr="00331144">
        <w:rPr>
          <w:rFonts w:ascii="Trebuchet MS" w:hAnsi="Trebuchet MS"/>
          <w:sz w:val="22"/>
          <w:szCs w:val="22"/>
        </w:rPr>
        <w:t xml:space="preserve"> à face da situação real, caso a caso, mas tendo como referencial mensurável, especialmente a afetividade, além dos demais requisitos que ajudam compor a entidade familiar que se denomina união estável. Nesse sentido, o registro de Marianna Chaves</w:t>
      </w:r>
      <w:r w:rsidR="00763254" w:rsidRPr="00331144">
        <w:rPr>
          <w:rFonts w:ascii="Trebuchet MS" w:hAnsi="Trebuchet MS"/>
          <w:sz w:val="22"/>
          <w:szCs w:val="22"/>
        </w:rPr>
        <w:t xml:space="preserve"> (</w:t>
      </w:r>
      <w:r w:rsidR="00763254" w:rsidRPr="00331144">
        <w:rPr>
          <w:rFonts w:ascii="Trebuchet MS" w:hAnsi="Trebuchet MS"/>
          <w:i/>
          <w:sz w:val="22"/>
          <w:szCs w:val="22"/>
        </w:rPr>
        <w:t>Famílias paralelas</w:t>
      </w:r>
      <w:r w:rsidR="00763254" w:rsidRPr="00331144">
        <w:rPr>
          <w:rFonts w:ascii="Trebuchet MS" w:hAnsi="Trebuchet MS"/>
          <w:sz w:val="22"/>
          <w:szCs w:val="22"/>
        </w:rPr>
        <w:t>)</w:t>
      </w:r>
      <w:r w:rsidRPr="00331144">
        <w:rPr>
          <w:rFonts w:ascii="Trebuchet MS" w:hAnsi="Trebuchet MS"/>
          <w:sz w:val="22"/>
          <w:szCs w:val="22"/>
        </w:rPr>
        <w:t>, a partir de afirmação de Rodrigo da Cunha Pereira</w:t>
      </w:r>
      <w:r w:rsidR="00763254" w:rsidRPr="00331144">
        <w:rPr>
          <w:rFonts w:ascii="Trebuchet MS" w:hAnsi="Trebuchet MS"/>
          <w:sz w:val="22"/>
          <w:szCs w:val="22"/>
        </w:rPr>
        <w:t xml:space="preserve"> (</w:t>
      </w:r>
      <w:r w:rsidR="00763254" w:rsidRPr="00331144">
        <w:rPr>
          <w:rFonts w:ascii="Trebuchet MS" w:hAnsi="Trebuchet MS"/>
          <w:i/>
          <w:sz w:val="22"/>
          <w:szCs w:val="22"/>
        </w:rPr>
        <w:t>Concubinato e União Estável</w:t>
      </w:r>
      <w:r w:rsidR="00763254" w:rsidRPr="00331144">
        <w:rPr>
          <w:rFonts w:ascii="Trebuchet MS" w:hAnsi="Trebuchet MS"/>
          <w:sz w:val="22"/>
          <w:szCs w:val="22"/>
        </w:rPr>
        <w:t>)</w:t>
      </w:r>
      <w:r w:rsidRPr="00331144">
        <w:rPr>
          <w:rFonts w:ascii="Trebuchet MS" w:hAnsi="Trebuchet MS"/>
          <w:sz w:val="22"/>
          <w:szCs w:val="22"/>
        </w:rPr>
        <w:t xml:space="preserve">: </w:t>
      </w:r>
      <w:r w:rsidR="00763254" w:rsidRPr="00331144">
        <w:rPr>
          <w:rFonts w:ascii="Trebuchet MS" w:hAnsi="Trebuchet MS"/>
          <w:i/>
          <w:sz w:val="22"/>
          <w:szCs w:val="22"/>
        </w:rPr>
        <w:t>S</w:t>
      </w:r>
      <w:r w:rsidRPr="00331144">
        <w:rPr>
          <w:rFonts w:ascii="Trebuchet MS" w:hAnsi="Trebuchet MS"/>
          <w:i/>
          <w:sz w:val="22"/>
          <w:szCs w:val="22"/>
        </w:rPr>
        <w:t xml:space="preserve">e existe amor, convivência e assistência recíproca, desvelo, não deve o sistema jurídico deixar de lado estes fatos, apenas porque presente o papel formalizador de um casamento. Destarte, iníqua seria uma proteção do Estado a uma família que há tempos não existe, onde a comunhão de vida há muito se dissipou e que, atualmente, é apenas uma anamnese cartorial, em menoscabo de uma legítima, atual e genuína relação familiar, fundada no afeto. </w:t>
      </w:r>
    </w:p>
    <w:p w:rsidR="00763254" w:rsidRPr="00331144" w:rsidRDefault="00763254" w:rsidP="00763254">
      <w:pPr>
        <w:pStyle w:val="TextodoCaptulo"/>
        <w:rPr>
          <w:rFonts w:ascii="Trebuchet MS" w:hAnsi="Trebuchet MS"/>
          <w:sz w:val="22"/>
          <w:szCs w:val="22"/>
        </w:rPr>
      </w:pPr>
      <w:r w:rsidRPr="00331144">
        <w:rPr>
          <w:rFonts w:ascii="Trebuchet MS" w:hAnsi="Trebuchet MS"/>
          <w:sz w:val="22"/>
          <w:szCs w:val="22"/>
        </w:rPr>
        <w:t>Por todas estas razões, a comunidade jurídica familiarista que convive com a sinceridade da era contemporânea, curva-se em cumprimentos a decisões c</w:t>
      </w:r>
      <w:r w:rsidR="008F1467" w:rsidRPr="00331144">
        <w:rPr>
          <w:rFonts w:ascii="Trebuchet MS" w:hAnsi="Trebuchet MS"/>
          <w:sz w:val="22"/>
          <w:szCs w:val="22"/>
        </w:rPr>
        <w:t>orajosas e inovadoras como esta</w:t>
      </w:r>
      <w:r w:rsidRPr="00331144">
        <w:rPr>
          <w:rFonts w:ascii="Trebuchet MS" w:hAnsi="Trebuchet MS"/>
          <w:sz w:val="22"/>
          <w:szCs w:val="22"/>
        </w:rPr>
        <w:t xml:space="preserve"> que comento, do TJMA, </w:t>
      </w:r>
      <w:r w:rsidR="008F1467" w:rsidRPr="00331144">
        <w:rPr>
          <w:rFonts w:ascii="Trebuchet MS" w:hAnsi="Trebuchet MS"/>
          <w:sz w:val="22"/>
          <w:szCs w:val="22"/>
        </w:rPr>
        <w:t>oriunda da sensibilidade e inteligência consentâneas com a realidade, de um julgador do peso do Desembargador Lourival Serejo.</w:t>
      </w:r>
    </w:p>
    <w:sectPr w:rsidR="00763254" w:rsidRPr="00331144" w:rsidSect="00414AB1"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B9F" w:rsidRDefault="008D7B9F" w:rsidP="00444FFD">
      <w:pPr>
        <w:spacing w:after="0" w:line="240" w:lineRule="auto"/>
      </w:pPr>
      <w:r>
        <w:separator/>
      </w:r>
    </w:p>
  </w:endnote>
  <w:endnote w:type="continuationSeparator" w:id="1">
    <w:p w:rsidR="008D7B9F" w:rsidRDefault="008D7B9F" w:rsidP="0044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B9F" w:rsidRDefault="008D7B9F" w:rsidP="00444FFD">
      <w:pPr>
        <w:spacing w:after="0" w:line="240" w:lineRule="auto"/>
      </w:pPr>
      <w:r>
        <w:separator/>
      </w:r>
    </w:p>
  </w:footnote>
  <w:footnote w:type="continuationSeparator" w:id="1">
    <w:p w:rsidR="008D7B9F" w:rsidRDefault="008D7B9F" w:rsidP="00444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230C7"/>
    <w:multiLevelType w:val="singleLevel"/>
    <w:tmpl w:val="EBE65EDE"/>
    <w:lvl w:ilvl="0">
      <w:start w:val="1"/>
      <w:numFmt w:val="bullet"/>
      <w:pStyle w:val="TextodoResumoEsquemti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FFD"/>
    <w:rsid w:val="00331144"/>
    <w:rsid w:val="00414A76"/>
    <w:rsid w:val="00414AB1"/>
    <w:rsid w:val="00444FFD"/>
    <w:rsid w:val="005F1560"/>
    <w:rsid w:val="0075428C"/>
    <w:rsid w:val="00763254"/>
    <w:rsid w:val="00820187"/>
    <w:rsid w:val="008D7B9F"/>
    <w:rsid w:val="008F1467"/>
    <w:rsid w:val="00952958"/>
    <w:rsid w:val="0098220C"/>
    <w:rsid w:val="009C3BF3"/>
    <w:rsid w:val="00B549B9"/>
    <w:rsid w:val="00B63C86"/>
    <w:rsid w:val="00EE6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AB1"/>
    <w:pPr>
      <w:spacing w:after="120" w:line="360" w:lineRule="auto"/>
      <w:ind w:firstLine="34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rsid w:val="00444FFD"/>
    <w:rPr>
      <w:vertAlign w:val="superscript"/>
    </w:rPr>
  </w:style>
  <w:style w:type="paragraph" w:customStyle="1" w:styleId="NmerodoCaptulo">
    <w:name w:val="Número do Capítulo"/>
    <w:basedOn w:val="Normal"/>
    <w:rsid w:val="00414AB1"/>
    <w:pPr>
      <w:widowControl w:val="0"/>
      <w:spacing w:before="1440" w:after="240"/>
      <w:jc w:val="right"/>
    </w:pPr>
    <w:rPr>
      <w:rFonts w:ascii="Tms Rmn" w:hAnsi="Tms Rmn"/>
      <w:b/>
      <w:color w:val="000080"/>
      <w:sz w:val="28"/>
    </w:rPr>
  </w:style>
  <w:style w:type="paragraph" w:customStyle="1" w:styleId="TtulodoCaptulo">
    <w:name w:val="Título do Capítulo"/>
    <w:basedOn w:val="Normal"/>
    <w:rsid w:val="00414AB1"/>
    <w:pPr>
      <w:widowControl w:val="0"/>
      <w:spacing w:after="360"/>
      <w:jc w:val="right"/>
    </w:pPr>
    <w:rPr>
      <w:rFonts w:ascii="Tms Rmn" w:hAnsi="Tms Rmn"/>
      <w:b/>
      <w:caps/>
      <w:color w:val="000080"/>
      <w:sz w:val="28"/>
    </w:rPr>
  </w:style>
  <w:style w:type="paragraph" w:customStyle="1" w:styleId="SumriodoCaptulo">
    <w:name w:val="Sumário do Capítulo"/>
    <w:basedOn w:val="Normal"/>
    <w:rsid w:val="00414AB1"/>
    <w:pPr>
      <w:widowControl w:val="0"/>
      <w:spacing w:after="720"/>
      <w:ind w:left="1361"/>
    </w:pPr>
    <w:rPr>
      <w:rFonts w:ascii="Tms Rmn" w:hAnsi="Tms Rmn"/>
    </w:rPr>
  </w:style>
  <w:style w:type="paragraph" w:customStyle="1" w:styleId="SubTtulodoCaptulo">
    <w:name w:val="Sub Título do Capítulo"/>
    <w:basedOn w:val="Normal"/>
    <w:rsid w:val="00414AB1"/>
    <w:pPr>
      <w:widowControl w:val="0"/>
      <w:ind w:left="340" w:hanging="340"/>
    </w:pPr>
    <w:rPr>
      <w:rFonts w:ascii="Tms Rmn" w:hAnsi="Tms Rmn"/>
      <w:b/>
      <w:sz w:val="24"/>
    </w:rPr>
  </w:style>
  <w:style w:type="paragraph" w:customStyle="1" w:styleId="TextodoCaptulo">
    <w:name w:val="Texto do Capítulo"/>
    <w:basedOn w:val="Normal"/>
    <w:rsid w:val="00414AB1"/>
    <w:pPr>
      <w:widowControl w:val="0"/>
    </w:pPr>
    <w:rPr>
      <w:rFonts w:ascii="Tms Rmn" w:hAnsi="Tms Rmn"/>
      <w:sz w:val="24"/>
    </w:rPr>
  </w:style>
  <w:style w:type="paragraph" w:customStyle="1" w:styleId="NotadeRodap">
    <w:name w:val="Nota de Rodapé"/>
    <w:basedOn w:val="Normal"/>
    <w:rsid w:val="00414AB1"/>
    <w:pPr>
      <w:widowControl w:val="0"/>
      <w:spacing w:after="60"/>
    </w:pPr>
    <w:rPr>
      <w:rFonts w:ascii="Tms Rmn" w:hAnsi="Tms Rmn"/>
    </w:rPr>
  </w:style>
  <w:style w:type="paragraph" w:customStyle="1" w:styleId="TtuloResumoEsquemtico">
    <w:name w:val="Título Resumo Esquemático"/>
    <w:basedOn w:val="Normal"/>
    <w:rsid w:val="00414AB1"/>
    <w:pPr>
      <w:widowControl w:val="0"/>
    </w:pPr>
    <w:rPr>
      <w:rFonts w:ascii="Tms Rmn" w:hAnsi="Tms Rmn"/>
      <w:b/>
      <w:sz w:val="24"/>
    </w:rPr>
  </w:style>
  <w:style w:type="paragraph" w:customStyle="1" w:styleId="TextodoResumoEsquemtico">
    <w:name w:val="Texto do Resumo Esquemático"/>
    <w:basedOn w:val="Normal"/>
    <w:rsid w:val="00414AB1"/>
    <w:pPr>
      <w:widowControl w:val="0"/>
      <w:numPr>
        <w:numId w:val="1"/>
      </w:numPr>
    </w:pPr>
    <w:rPr>
      <w:rFonts w:ascii="Tms Rmn" w:hAnsi="Tms Rmn"/>
      <w:sz w:val="24"/>
    </w:rPr>
  </w:style>
  <w:style w:type="paragraph" w:customStyle="1" w:styleId="SubTtulodoResumoEsquemtico">
    <w:name w:val="Sub Título do Resumo Esquemático"/>
    <w:basedOn w:val="Normal"/>
    <w:rsid w:val="00414AB1"/>
    <w:pPr>
      <w:widowControl w:val="0"/>
    </w:pPr>
    <w:rPr>
      <w:rFonts w:ascii="Tms Rmn" w:hAnsi="Tms Rmn"/>
      <w:i/>
      <w:sz w:val="24"/>
    </w:rPr>
  </w:style>
  <w:style w:type="paragraph" w:customStyle="1" w:styleId="TextodasRefernciasDoutrinrias">
    <w:name w:val="Texto das Referências Doutrinárias"/>
    <w:basedOn w:val="Normal"/>
    <w:rsid w:val="00414AB1"/>
    <w:pPr>
      <w:widowControl w:val="0"/>
      <w:pBdr>
        <w:left w:val="single" w:sz="24" w:space="6" w:color="000080"/>
        <w:right w:val="single" w:sz="24" w:space="6" w:color="000080"/>
      </w:pBdr>
    </w:pPr>
    <w:rPr>
      <w:rFonts w:ascii="Tms Rmn" w:hAnsi="Tms Rmn"/>
      <w:sz w:val="24"/>
    </w:rPr>
  </w:style>
  <w:style w:type="paragraph" w:customStyle="1" w:styleId="SubSubTtulodoCaptulo">
    <w:name w:val="Sub Sub Título do Capítulo"/>
    <w:basedOn w:val="Normal"/>
    <w:rsid w:val="00414AB1"/>
    <w:pPr>
      <w:widowControl w:val="0"/>
    </w:pPr>
    <w:rPr>
      <w:rFonts w:ascii="Tms Rmn" w:hAnsi="Tms Rmn"/>
      <w:i/>
      <w:sz w:val="24"/>
    </w:rPr>
  </w:style>
  <w:style w:type="paragraph" w:customStyle="1" w:styleId="TextodaBibliografia">
    <w:name w:val="Texto da Bibliografia"/>
    <w:basedOn w:val="Normal"/>
    <w:rsid w:val="00414AB1"/>
    <w:pPr>
      <w:widowControl w:val="0"/>
      <w:ind w:left="340" w:hanging="340"/>
    </w:pPr>
    <w:rPr>
      <w:rFonts w:ascii="Tms Rmn" w:hAnsi="Tms Rmn"/>
      <w:sz w:val="24"/>
    </w:rPr>
  </w:style>
  <w:style w:type="character" w:styleId="Hyperlink">
    <w:name w:val="Hyperlink"/>
    <w:rsid w:val="00444FFD"/>
    <w:rPr>
      <w:color w:val="0000FF"/>
      <w:u w:val="single"/>
    </w:rPr>
  </w:style>
  <w:style w:type="character" w:styleId="Forte">
    <w:name w:val="Strong"/>
    <w:uiPriority w:val="22"/>
    <w:qFormat/>
    <w:rsid w:val="00444F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selda\Desktop\capitul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capitulo</Template>
  <TotalTime>31</TotalTime>
  <Pages>2</Pages>
  <Words>752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Editora Revista dos Tribunais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Giselda</dc:creator>
  <cp:keywords/>
  <cp:lastModifiedBy>usuario</cp:lastModifiedBy>
  <cp:revision>3</cp:revision>
  <dcterms:created xsi:type="dcterms:W3CDTF">2014-12-16T16:05:00Z</dcterms:created>
  <dcterms:modified xsi:type="dcterms:W3CDTF">2014-12-17T18:42:00Z</dcterms:modified>
</cp:coreProperties>
</file>